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bCs/>
          <w:i w:val="0"/>
          <w:iCs w:val="0"/>
          <w:caps w:val="0"/>
          <w:color w:val="333333"/>
          <w:spacing w:val="0"/>
          <w:kern w:val="0"/>
          <w:sz w:val="36"/>
          <w:szCs w:val="36"/>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198" w:line="231" w:lineRule="auto"/>
        <w:ind w:left="0" w:firstLine="0" w:firstLineChars="0"/>
        <w:textAlignment w:val="baseline"/>
        <w:rPr>
          <w:rFonts w:hint="eastAsia" w:ascii="黑体" w:hAnsi="黑体" w:eastAsia="黑体" w:cs="黑体"/>
          <w:sz w:val="21"/>
        </w:rPr>
      </w:pPr>
      <w:bookmarkStart w:id="0" w:name="_GoBack"/>
      <w:bookmarkEnd w:id="0"/>
      <w:r>
        <w:rPr>
          <w:rFonts w:hint="eastAsia" w:ascii="黑体" w:hAnsi="黑体" w:eastAsia="黑体" w:cs="黑体"/>
          <w:spacing w:val="-6"/>
          <w:sz w:val="31"/>
          <w:szCs w:val="31"/>
        </w:rPr>
        <w:t>附件</w:t>
      </w:r>
      <w:r>
        <w:rPr>
          <w:rFonts w:hint="eastAsia" w:ascii="黑体" w:hAnsi="黑体" w:eastAsia="黑体" w:cs="黑体"/>
          <w:spacing w:val="-6"/>
          <w:sz w:val="31"/>
          <w:szCs w:val="31"/>
          <w:lang w:val="en-US" w:eastAsia="zh-CN"/>
        </w:rPr>
        <w:t>1</w:t>
      </w:r>
    </w:p>
    <w:p>
      <w:pPr>
        <w:pStyle w:val="2"/>
        <w:bidi w:val="0"/>
        <w:jc w:val="center"/>
        <w:rPr>
          <w:b/>
          <w:bCs/>
          <w:sz w:val="36"/>
          <w:szCs w:val="36"/>
        </w:rPr>
      </w:pPr>
      <w:r>
        <w:rPr>
          <w:rFonts w:hint="eastAsia"/>
          <w:b/>
          <w:bCs/>
          <w:sz w:val="36"/>
          <w:szCs w:val="36"/>
          <w:lang w:val="en-US" w:eastAsia="zh-CN"/>
        </w:rPr>
        <w:t>高校</w:t>
      </w:r>
      <w:r>
        <w:rPr>
          <w:b/>
          <w:bCs/>
          <w:sz w:val="36"/>
          <w:szCs w:val="36"/>
        </w:rPr>
        <w:t>辅导员研究课题指南</w:t>
      </w:r>
    </w:p>
    <w:p>
      <w:pPr>
        <w:pStyle w:val="3"/>
        <w:bidi w:val="0"/>
        <w:rPr>
          <w:sz w:val="32"/>
          <w:szCs w:val="32"/>
        </w:rPr>
      </w:pPr>
      <w:r>
        <w:rPr>
          <w:rFonts w:hint="eastAsia"/>
          <w:sz w:val="32"/>
          <w:szCs w:val="32"/>
          <w:lang w:val="en-US" w:eastAsia="zh-CN"/>
        </w:rPr>
        <w:t>一、</w:t>
      </w:r>
      <w:r>
        <w:rPr>
          <w:rFonts w:hint="eastAsia"/>
          <w:sz w:val="32"/>
          <w:szCs w:val="32"/>
        </w:rPr>
        <w:t>思想理论教育和价值引领</w:t>
      </w:r>
    </w:p>
    <w:p>
      <w:pPr>
        <w:spacing w:line="338" w:lineRule="auto"/>
        <w:ind w:firstLine="640" w:firstLineChars="200"/>
        <w:rPr>
          <w:rFonts w:eastAsia="仿宋_GB2312"/>
          <w:sz w:val="32"/>
          <w:szCs w:val="32"/>
        </w:rPr>
      </w:pPr>
      <w:r>
        <w:rPr>
          <w:rFonts w:eastAsia="仿宋_GB2312"/>
          <w:sz w:val="32"/>
          <w:szCs w:val="32"/>
        </w:rPr>
        <w:t>1. 当前大学生思想特点及行为规律研究</w:t>
      </w:r>
    </w:p>
    <w:p>
      <w:pPr>
        <w:spacing w:line="338" w:lineRule="auto"/>
        <w:ind w:firstLine="640" w:firstLineChars="200"/>
        <w:rPr>
          <w:rFonts w:eastAsia="仿宋_GB2312"/>
          <w:sz w:val="32"/>
          <w:szCs w:val="32"/>
        </w:rPr>
      </w:pPr>
      <w:r>
        <w:rPr>
          <w:rFonts w:eastAsia="仿宋_GB2312"/>
          <w:sz w:val="32"/>
          <w:szCs w:val="32"/>
        </w:rPr>
        <w:t xml:space="preserve">2. </w:t>
      </w:r>
      <w:r>
        <w:rPr>
          <w:rFonts w:eastAsia="仿宋_GB2312"/>
          <w:bCs/>
          <w:sz w:val="32"/>
          <w:szCs w:val="32"/>
        </w:rPr>
        <w:t>红色资源</w:t>
      </w:r>
      <w:r>
        <w:rPr>
          <w:rFonts w:eastAsia="仿宋_GB2312"/>
          <w:sz w:val="32"/>
          <w:szCs w:val="32"/>
        </w:rPr>
        <w:t>融入大学生日常思想政治教育研究</w:t>
      </w:r>
    </w:p>
    <w:p>
      <w:pPr>
        <w:spacing w:line="338" w:lineRule="auto"/>
        <w:ind w:firstLine="640" w:firstLineChars="200"/>
        <w:rPr>
          <w:rFonts w:eastAsia="仿宋_GB2312"/>
          <w:sz w:val="32"/>
          <w:szCs w:val="32"/>
        </w:rPr>
      </w:pPr>
      <w:r>
        <w:rPr>
          <w:rFonts w:eastAsia="仿宋_GB2312"/>
          <w:sz w:val="32"/>
          <w:szCs w:val="32"/>
        </w:rPr>
        <w:t>3. 中华传统优秀文化融入大学生日常思想政治教育研究</w:t>
      </w:r>
    </w:p>
    <w:p>
      <w:pPr>
        <w:spacing w:line="338" w:lineRule="auto"/>
        <w:ind w:firstLine="640" w:firstLineChars="200"/>
        <w:rPr>
          <w:rFonts w:eastAsia="仿宋_GB2312"/>
          <w:sz w:val="32"/>
          <w:szCs w:val="32"/>
        </w:rPr>
      </w:pPr>
      <w:r>
        <w:rPr>
          <w:rFonts w:eastAsia="仿宋_GB2312"/>
          <w:sz w:val="32"/>
          <w:szCs w:val="32"/>
        </w:rPr>
        <w:t>4. 大学精神育人的载体和途径研究</w:t>
      </w:r>
    </w:p>
    <w:p>
      <w:pPr>
        <w:spacing w:line="338" w:lineRule="auto"/>
        <w:ind w:firstLine="640" w:firstLineChars="200"/>
        <w:rPr>
          <w:rFonts w:eastAsia="仿宋_GB2312"/>
          <w:sz w:val="32"/>
          <w:szCs w:val="32"/>
        </w:rPr>
      </w:pPr>
      <w:r>
        <w:rPr>
          <w:rFonts w:hint="eastAsia"/>
          <w:sz w:val="32"/>
          <w:szCs w:val="32"/>
          <w:lang w:val="en-US" w:eastAsia="zh-CN"/>
        </w:rPr>
        <w:t>5.</w:t>
      </w:r>
      <w:r>
        <w:rPr>
          <w:rFonts w:eastAsia="仿宋_GB2312"/>
          <w:sz w:val="32"/>
          <w:szCs w:val="32"/>
        </w:rPr>
        <w:t xml:space="preserve"> 大学生网络思政的载体和机制研究</w:t>
      </w:r>
    </w:p>
    <w:p>
      <w:pPr>
        <w:spacing w:line="338" w:lineRule="auto"/>
        <w:ind w:firstLine="640" w:firstLineChars="200"/>
        <w:rPr>
          <w:rFonts w:eastAsia="仿宋_GB2312"/>
          <w:sz w:val="32"/>
          <w:szCs w:val="32"/>
        </w:rPr>
      </w:pPr>
      <w:r>
        <w:rPr>
          <w:rFonts w:hint="eastAsia"/>
          <w:sz w:val="32"/>
          <w:szCs w:val="32"/>
          <w:lang w:val="en-US" w:eastAsia="zh-CN"/>
        </w:rPr>
        <w:t>6</w:t>
      </w:r>
      <w:r>
        <w:rPr>
          <w:rFonts w:eastAsia="仿宋_GB2312"/>
          <w:sz w:val="32"/>
          <w:szCs w:val="32"/>
        </w:rPr>
        <w:t>. “校园贷”风险防范与教育引导机制研究</w:t>
      </w:r>
    </w:p>
    <w:p>
      <w:pPr>
        <w:spacing w:line="338" w:lineRule="auto"/>
        <w:ind w:firstLine="640" w:firstLineChars="200"/>
        <w:rPr>
          <w:rFonts w:eastAsia="仿宋_GB2312"/>
          <w:sz w:val="32"/>
          <w:szCs w:val="32"/>
        </w:rPr>
      </w:pPr>
      <w:r>
        <w:rPr>
          <w:rFonts w:hint="eastAsia"/>
          <w:sz w:val="32"/>
          <w:szCs w:val="32"/>
          <w:lang w:val="en-US" w:eastAsia="zh-CN"/>
        </w:rPr>
        <w:t>7.</w:t>
      </w:r>
      <w:r>
        <w:rPr>
          <w:rFonts w:eastAsia="仿宋_GB2312"/>
          <w:sz w:val="32"/>
          <w:szCs w:val="32"/>
        </w:rPr>
        <w:t xml:space="preserve"> 提升大学生日常思想政治教育亲和力和针对性研究</w:t>
      </w:r>
    </w:p>
    <w:p>
      <w:pPr>
        <w:spacing w:line="338" w:lineRule="auto"/>
        <w:ind w:firstLine="640" w:firstLineChars="200"/>
        <w:rPr>
          <w:rFonts w:eastAsia="仿宋_GB2312"/>
          <w:sz w:val="32"/>
          <w:szCs w:val="32"/>
        </w:rPr>
      </w:pPr>
      <w:r>
        <w:rPr>
          <w:rFonts w:hint="eastAsia"/>
          <w:sz w:val="32"/>
          <w:szCs w:val="32"/>
          <w:lang w:val="en-US" w:eastAsia="zh-CN"/>
        </w:rPr>
        <w:t>8</w:t>
      </w:r>
      <w:r>
        <w:rPr>
          <w:rFonts w:eastAsia="仿宋_GB2312"/>
          <w:sz w:val="32"/>
          <w:szCs w:val="32"/>
        </w:rPr>
        <w:t>. 高校少数民族学生特点与教育管理创新研究</w:t>
      </w:r>
    </w:p>
    <w:p>
      <w:pPr>
        <w:pStyle w:val="3"/>
        <w:bidi w:val="0"/>
        <w:rPr>
          <w:rFonts w:hint="eastAsia"/>
          <w:sz w:val="32"/>
          <w:szCs w:val="32"/>
          <w:lang w:val="en-US" w:eastAsia="zh-CN"/>
        </w:rPr>
      </w:pPr>
      <w:r>
        <w:rPr>
          <w:rFonts w:hint="eastAsia"/>
          <w:sz w:val="32"/>
          <w:szCs w:val="32"/>
          <w:lang w:val="en-US" w:eastAsia="zh-CN"/>
        </w:rPr>
        <w:t>二、党团和班级建设</w:t>
      </w:r>
    </w:p>
    <w:p>
      <w:pPr>
        <w:spacing w:line="338" w:lineRule="auto"/>
        <w:ind w:firstLine="640" w:firstLineChars="200"/>
        <w:rPr>
          <w:rFonts w:eastAsia="仿宋_GB2312"/>
          <w:sz w:val="32"/>
          <w:szCs w:val="32"/>
        </w:rPr>
      </w:pPr>
      <w:r>
        <w:rPr>
          <w:rFonts w:hint="eastAsia" w:eastAsia="仿宋_GB2312"/>
          <w:sz w:val="32"/>
          <w:szCs w:val="32"/>
          <w:lang w:val="en-US" w:eastAsia="zh-CN"/>
        </w:rPr>
        <w:t>9</w:t>
      </w:r>
      <w:r>
        <w:rPr>
          <w:rFonts w:hint="eastAsia" w:eastAsia="仿宋_GB2312"/>
          <w:sz w:val="32"/>
          <w:szCs w:val="32"/>
        </w:rPr>
        <w:t>.学生样板党支部培育方法研究</w:t>
      </w:r>
    </w:p>
    <w:p>
      <w:pPr>
        <w:spacing w:line="338" w:lineRule="auto"/>
        <w:ind w:firstLine="640" w:firstLineChars="200"/>
        <w:rPr>
          <w:rFonts w:eastAsia="仿宋_GB2312"/>
          <w:sz w:val="32"/>
          <w:szCs w:val="32"/>
        </w:rPr>
      </w:pPr>
      <w:r>
        <w:rPr>
          <w:rFonts w:hint="eastAsia" w:eastAsia="仿宋_GB2312"/>
          <w:sz w:val="32"/>
          <w:szCs w:val="32"/>
          <w:lang w:val="en-US" w:eastAsia="zh-CN"/>
        </w:rPr>
        <w:t>10</w:t>
      </w:r>
      <w:r>
        <w:rPr>
          <w:rFonts w:hint="eastAsia" w:eastAsia="仿宋_GB2312"/>
          <w:sz w:val="32"/>
          <w:szCs w:val="32"/>
        </w:rPr>
        <w:t>.学生党支部设置模式探索和比较研究</w:t>
      </w:r>
    </w:p>
    <w:p>
      <w:pPr>
        <w:spacing w:line="338" w:lineRule="auto"/>
        <w:ind w:firstLine="640" w:firstLineChars="200"/>
        <w:rPr>
          <w:rFonts w:hint="eastAsia" w:eastAsia="仿宋_GB2312"/>
          <w:sz w:val="32"/>
          <w:szCs w:val="32"/>
        </w:rPr>
      </w:pPr>
      <w:r>
        <w:rPr>
          <w:rFonts w:hint="eastAsia" w:eastAsia="仿宋_GB2312"/>
          <w:sz w:val="32"/>
          <w:szCs w:val="32"/>
          <w:lang w:val="en-US" w:eastAsia="zh-CN"/>
        </w:rPr>
        <w:t>11</w:t>
      </w:r>
      <w:r>
        <w:rPr>
          <w:rFonts w:eastAsia="仿宋_GB2312"/>
          <w:sz w:val="32"/>
          <w:szCs w:val="32"/>
        </w:rPr>
        <w:t>.</w:t>
      </w:r>
      <w:r>
        <w:rPr>
          <w:rFonts w:hint="eastAsia" w:eastAsia="仿宋_GB2312"/>
          <w:sz w:val="32"/>
          <w:szCs w:val="32"/>
        </w:rPr>
        <w:t>学生党员发挥先锋模范带头作用的方法创新研究</w:t>
      </w:r>
    </w:p>
    <w:p>
      <w:pPr>
        <w:spacing w:line="338" w:lineRule="auto"/>
        <w:ind w:firstLine="640" w:firstLineChars="200"/>
        <w:rPr>
          <w:rFonts w:hint="eastAsia" w:eastAsia="仿宋_GB2312"/>
          <w:sz w:val="32"/>
          <w:szCs w:val="32"/>
        </w:rPr>
      </w:pPr>
      <w:r>
        <w:rPr>
          <w:rFonts w:hint="eastAsia" w:eastAsia="仿宋_GB2312"/>
          <w:sz w:val="32"/>
          <w:szCs w:val="32"/>
          <w:lang w:val="en-US" w:eastAsia="zh-CN"/>
        </w:rPr>
        <w:t>12.</w:t>
      </w:r>
      <w:r>
        <w:rPr>
          <w:rFonts w:hint="eastAsia" w:eastAsia="仿宋_GB2312"/>
          <w:sz w:val="32"/>
          <w:szCs w:val="32"/>
        </w:rPr>
        <w:t>大学生班团一体化建设路径研究</w:t>
      </w:r>
    </w:p>
    <w:p>
      <w:pPr>
        <w:spacing w:line="338" w:lineRule="auto"/>
        <w:ind w:firstLine="640" w:firstLineChars="200"/>
        <w:rPr>
          <w:rFonts w:eastAsia="仿宋_GB2312"/>
          <w:sz w:val="32"/>
          <w:szCs w:val="32"/>
        </w:rPr>
      </w:pPr>
      <w:r>
        <w:rPr>
          <w:rFonts w:hint="eastAsia" w:eastAsia="仿宋_GB2312"/>
          <w:sz w:val="32"/>
          <w:szCs w:val="32"/>
          <w:lang w:val="en-US" w:eastAsia="zh-CN"/>
        </w:rPr>
        <w:t>13.</w:t>
      </w:r>
      <w:r>
        <w:rPr>
          <w:rFonts w:eastAsia="仿宋_GB2312"/>
          <w:sz w:val="32"/>
          <w:szCs w:val="32"/>
        </w:rPr>
        <w:t>新时期高校团学融合模式研究</w:t>
      </w:r>
    </w:p>
    <w:p>
      <w:pPr>
        <w:spacing w:line="338" w:lineRule="auto"/>
        <w:ind w:firstLine="640" w:firstLineChars="200"/>
        <w:rPr>
          <w:rFonts w:eastAsia="仿宋_GB2312"/>
          <w:sz w:val="32"/>
          <w:szCs w:val="32"/>
        </w:rPr>
      </w:pPr>
      <w:r>
        <w:rPr>
          <w:rFonts w:hint="eastAsia" w:eastAsia="仿宋_GB2312"/>
          <w:sz w:val="32"/>
          <w:szCs w:val="32"/>
          <w:lang w:val="en-US" w:eastAsia="zh-CN"/>
        </w:rPr>
        <w:t>14</w:t>
      </w:r>
      <w:r>
        <w:rPr>
          <w:rFonts w:eastAsia="仿宋_GB2312"/>
          <w:sz w:val="32"/>
          <w:szCs w:val="32"/>
        </w:rPr>
        <w:t>.高校基层党组织政治功能与组织功能提升路径研究</w:t>
      </w:r>
    </w:p>
    <w:p>
      <w:pPr>
        <w:spacing w:line="338" w:lineRule="auto"/>
        <w:ind w:firstLine="640" w:firstLineChars="200"/>
        <w:rPr>
          <w:rFonts w:eastAsia="仿宋_GB2312"/>
          <w:sz w:val="32"/>
          <w:szCs w:val="32"/>
        </w:rPr>
      </w:pPr>
      <w:r>
        <w:rPr>
          <w:rFonts w:hint="eastAsia" w:eastAsia="仿宋_GB2312"/>
          <w:sz w:val="32"/>
          <w:szCs w:val="32"/>
          <w:lang w:val="en-US" w:eastAsia="zh-CN"/>
        </w:rPr>
        <w:t>15</w:t>
      </w:r>
      <w:r>
        <w:rPr>
          <w:rFonts w:eastAsia="仿宋_GB2312"/>
          <w:sz w:val="32"/>
          <w:szCs w:val="32"/>
        </w:rPr>
        <w:t>.高校“样板党支部”示范引领作用发挥研究</w:t>
      </w:r>
    </w:p>
    <w:p>
      <w:pPr>
        <w:spacing w:line="338" w:lineRule="auto"/>
        <w:ind w:firstLine="640" w:firstLineChars="200"/>
        <w:rPr>
          <w:rFonts w:hint="eastAsia" w:eastAsia="仿宋_GB2312"/>
          <w:sz w:val="32"/>
          <w:szCs w:val="32"/>
        </w:rPr>
      </w:pPr>
    </w:p>
    <w:p>
      <w:pPr>
        <w:pStyle w:val="3"/>
        <w:bidi w:val="0"/>
        <w:rPr>
          <w:rFonts w:hint="eastAsia"/>
          <w:sz w:val="32"/>
          <w:szCs w:val="32"/>
          <w:lang w:val="en-US" w:eastAsia="zh-CN"/>
        </w:rPr>
      </w:pPr>
      <w:r>
        <w:rPr>
          <w:rFonts w:hint="eastAsia"/>
          <w:sz w:val="32"/>
          <w:szCs w:val="32"/>
          <w:lang w:val="en-US" w:eastAsia="zh-CN"/>
        </w:rPr>
        <w:t>三、学风建设</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16.大学生学风建设现状、问题、对策及典型案例研究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17.基于课外学术科技竞赛的科研育人培养模式研究</w:t>
      </w:r>
    </w:p>
    <w:p>
      <w:pPr>
        <w:spacing w:line="338" w:lineRule="auto"/>
        <w:ind w:firstLine="640" w:firstLineChars="200"/>
        <w:rPr>
          <w:rFonts w:hint="eastAsia" w:ascii="Times New Roman" w:hAnsi="Times New Roman" w:eastAsia="仿宋_GB2312" w:cs="仿宋_GB2312"/>
          <w:sz w:val="32"/>
          <w:szCs w:val="32"/>
        </w:rPr>
      </w:pPr>
      <w:r>
        <w:rPr>
          <w:rFonts w:hint="eastAsia" w:eastAsia="仿宋_GB2312"/>
          <w:sz w:val="32"/>
          <w:szCs w:val="32"/>
          <w:lang w:val="en-US" w:eastAsia="zh-CN"/>
        </w:rPr>
        <w:t>18.“五育并举”背景下高校培育优良学风路径研究</w:t>
      </w:r>
    </w:p>
    <w:p>
      <w:pPr>
        <w:pStyle w:val="3"/>
        <w:bidi w:val="0"/>
        <w:rPr>
          <w:rFonts w:hint="eastAsia"/>
          <w:sz w:val="32"/>
          <w:szCs w:val="32"/>
          <w:lang w:val="en-US" w:eastAsia="zh-CN"/>
        </w:rPr>
      </w:pPr>
      <w:r>
        <w:rPr>
          <w:rFonts w:hint="eastAsia"/>
          <w:sz w:val="32"/>
          <w:szCs w:val="32"/>
          <w:lang w:val="en-US" w:eastAsia="zh-CN"/>
        </w:rPr>
        <w:t>四、学生日常事务管理</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19.大学生行为教育的内涵与实践探索</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20.资助育人的内容和机制研究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21.高校民族宗教管理工作研究</w:t>
      </w:r>
    </w:p>
    <w:p>
      <w:pPr>
        <w:pStyle w:val="3"/>
        <w:bidi w:val="0"/>
        <w:rPr>
          <w:rFonts w:hint="eastAsia"/>
          <w:sz w:val="32"/>
          <w:szCs w:val="32"/>
          <w:lang w:val="en-US" w:eastAsia="zh-CN"/>
        </w:rPr>
      </w:pPr>
      <w:r>
        <w:rPr>
          <w:rFonts w:hint="eastAsia"/>
          <w:sz w:val="32"/>
          <w:szCs w:val="32"/>
          <w:lang w:val="en-US" w:eastAsia="zh-CN"/>
        </w:rPr>
        <w:t>五、心理健康教育与咨询工作</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22.新时代高校大学生心理健康教育现状与对策研究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23.增强辅导员与大学生谈心谈话的针对性和实效性研究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24.心理健康教育理论方法与心理健康育人工作实践路径探索</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25.高校学生心理健康教育体系建设创新研究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26.大学生积极心理品质培育的路径与机制研究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27.大学生心理危机的特点与干预策略研究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28.大学生心理健康教育家校协同机制研究</w:t>
      </w:r>
    </w:p>
    <w:p>
      <w:pPr>
        <w:pStyle w:val="3"/>
        <w:bidi w:val="0"/>
        <w:rPr>
          <w:rFonts w:hint="eastAsia"/>
          <w:sz w:val="32"/>
          <w:szCs w:val="32"/>
          <w:lang w:val="en-US" w:eastAsia="zh-CN"/>
        </w:rPr>
      </w:pPr>
      <w:r>
        <w:rPr>
          <w:rFonts w:hint="eastAsia"/>
          <w:sz w:val="32"/>
          <w:szCs w:val="32"/>
          <w:lang w:val="en-US" w:eastAsia="zh-CN"/>
        </w:rPr>
        <w:t>六、网络思想政治教育</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29.基于大学生思想动态调研的精准思政研究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30.新媒体时代网络舆情的策略分析</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31.基于网络思政的大学生意识形态教育对策分析</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32.大学生网络社交圈层化特点与引导策略研究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33.大学生网络素养内容、载体及培育机制研究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34.大学生网络“亚文化”现象的教育引导研究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35.高校思政类微信公众号的建设现状与发展策略研究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36.高校网络文化产品精准推送机制研究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37.大学生网络思想政治教育供给侧改革创新研究</w:t>
      </w:r>
    </w:p>
    <w:p>
      <w:pPr>
        <w:pStyle w:val="3"/>
        <w:bidi w:val="0"/>
        <w:rPr>
          <w:rFonts w:hint="eastAsia"/>
          <w:sz w:val="32"/>
          <w:szCs w:val="32"/>
          <w:lang w:val="en-US" w:eastAsia="zh-CN"/>
        </w:rPr>
      </w:pPr>
      <w:r>
        <w:rPr>
          <w:rFonts w:hint="eastAsia"/>
          <w:sz w:val="32"/>
          <w:szCs w:val="32"/>
          <w:lang w:val="en-US" w:eastAsia="zh-CN"/>
        </w:rPr>
        <w:t>七、校园危机事件应对</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38.新时代高校大学生生命教育路径研究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39.校园危机事件标准化处理方式研究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40.新时代高校国家安全教育有效策略研究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41.高校学生群体性事件应对与处置策略研究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42.高校安全风险防范化解研究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43.防范“三股势力”向校园渗透工作机制研究</w:t>
      </w:r>
    </w:p>
    <w:p>
      <w:pPr>
        <w:pStyle w:val="3"/>
        <w:bidi w:val="0"/>
        <w:rPr>
          <w:rFonts w:hint="eastAsia"/>
          <w:sz w:val="32"/>
          <w:szCs w:val="32"/>
          <w:lang w:val="en-US" w:eastAsia="zh-CN"/>
        </w:rPr>
      </w:pPr>
      <w:r>
        <w:rPr>
          <w:rFonts w:hint="eastAsia"/>
          <w:sz w:val="32"/>
          <w:szCs w:val="32"/>
          <w:lang w:val="en-US" w:eastAsia="zh-CN"/>
        </w:rPr>
        <w:t>八、职业规划与就业创业指导</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44. 大学生就业能力提升平台建设研究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45. 大学生职业规划教育体系及相关问题研究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46. 大学生就业指导相关问题研究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47. 大学生核心素养培育的路径研究</w:t>
      </w:r>
    </w:p>
    <w:p>
      <w:pPr>
        <w:pStyle w:val="3"/>
        <w:bidi w:val="0"/>
        <w:rPr>
          <w:rFonts w:hint="eastAsia"/>
          <w:sz w:val="32"/>
          <w:szCs w:val="32"/>
          <w:lang w:val="en-US" w:eastAsia="zh-CN"/>
        </w:rPr>
      </w:pPr>
      <w:r>
        <w:rPr>
          <w:rFonts w:hint="eastAsia"/>
          <w:sz w:val="32"/>
          <w:szCs w:val="32"/>
          <w:lang w:val="en-US" w:eastAsia="zh-CN"/>
        </w:rPr>
        <w:t>九、理论和实践研究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48.“一站式”学生社区综合管理模式建设实践进路研究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49.大学生铸牢中华民族共同体意识工作体系研究及路径研究</w:t>
      </w:r>
    </w:p>
    <w:p>
      <w:pPr>
        <w:spacing w:line="338" w:lineRule="auto"/>
        <w:ind w:firstLine="640" w:firstLineChars="200"/>
        <w:rPr>
          <w:rFonts w:hint="default" w:eastAsia="仿宋_GB2312"/>
          <w:sz w:val="32"/>
          <w:szCs w:val="32"/>
          <w:lang w:val="en-US" w:eastAsia="zh-CN"/>
        </w:rPr>
      </w:pPr>
      <w:r>
        <w:rPr>
          <w:rFonts w:hint="eastAsia" w:eastAsia="仿宋_GB2312"/>
          <w:sz w:val="32"/>
          <w:szCs w:val="32"/>
          <w:lang w:val="en-US" w:eastAsia="zh-CN"/>
        </w:rPr>
        <w:t>50.中外合作办学背景下大学生全球胜任力提升工作体系及路径研究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51.基于院系特色的学生发展咨询体系研究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52.学好用好习近平新时代中国特色社会主义思想的世界观与方法论研究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53.大数据赋能学生工作的实践探索</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54.基于学生群体画像分析的高校精准思政研究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55.整合资源构建高校实践育人共同体研究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56.ChatGPT对高校思想政治工作的影响研究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57.涉校网络自媒体管理研究</w:t>
      </w:r>
    </w:p>
    <w:p>
      <w:pPr>
        <w:pStyle w:val="3"/>
        <w:bidi w:val="0"/>
        <w:rPr>
          <w:rFonts w:hint="eastAsia"/>
          <w:sz w:val="32"/>
          <w:szCs w:val="32"/>
          <w:lang w:val="en-US" w:eastAsia="zh-CN"/>
        </w:rPr>
      </w:pPr>
      <w:r>
        <w:rPr>
          <w:rFonts w:hint="eastAsia"/>
          <w:sz w:val="32"/>
          <w:szCs w:val="32"/>
          <w:lang w:val="en-US" w:eastAsia="zh-CN"/>
        </w:rPr>
        <w:t>十、辅导员队伍建设</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58.构建高校辅导员发展体系研究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59.高校辅导员提升政治引领力路径研究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60.高校辅导员与思政课教师、专业课教师协同育人研究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61.新时代高校辅导员核心素养研究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62.高校辅导员培训核心课程创新研究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63.高校辅导员大数据赋能成长与发展机制研究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64.高校专职辅导员职业发展体系晋升路径研究</w:t>
      </w:r>
    </w:p>
    <w:p>
      <w:pPr>
        <w:spacing w:line="338" w:lineRule="auto"/>
        <w:ind w:firstLine="640" w:firstLineChars="200"/>
        <w:rPr>
          <w:rFonts w:hint="eastAsia" w:eastAsia="仿宋_GB2312"/>
          <w:sz w:val="32"/>
          <w:szCs w:val="32"/>
          <w:lang w:val="en-US" w:eastAsia="zh-CN"/>
        </w:rPr>
      </w:pPr>
      <w:r>
        <w:rPr>
          <w:rFonts w:hint="eastAsia" w:eastAsia="仿宋_GB2312"/>
          <w:sz w:val="32"/>
          <w:szCs w:val="32"/>
          <w:lang w:val="en-US" w:eastAsia="zh-CN"/>
        </w:rPr>
        <w:t>65.中外合作办学高校中辅导员队伍建设研究</w:t>
      </w:r>
    </w:p>
    <w:p>
      <w:pPr>
        <w:numPr>
          <w:ilvl w:val="0"/>
          <w:numId w:val="0"/>
        </w:numPr>
        <w:rPr>
          <w:rFonts w:hint="default" w:ascii="Times New Roman" w:hAnsi="Times New Roman" w:eastAsia="仿宋_GB2312"/>
          <w:lang w:val="en-US" w:eastAsia="zh-CN"/>
        </w:rPr>
      </w:pPr>
    </w:p>
    <w:p>
      <w:pPr>
        <w:numPr>
          <w:ilvl w:val="0"/>
          <w:numId w:val="0"/>
        </w:numPr>
        <w:rPr>
          <w:rFonts w:hint="default" w:ascii="Times New Roman" w:hAnsi="Times New Roman" w:eastAsia="仿宋_GB2312"/>
          <w:lang w:val="en-US" w:eastAsia="zh-CN"/>
        </w:rPr>
      </w:pPr>
    </w:p>
    <w:p>
      <w:pPr>
        <w:spacing w:before="312" w:beforeLines="100" w:line="52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注</w:t>
      </w:r>
      <w:r>
        <w:rPr>
          <w:rFonts w:hint="eastAsia" w:ascii="Times New Roman" w:hAnsi="Times New Roman" w:eastAsia="仿宋_GB2312" w:cs="仿宋_GB2312"/>
          <w:sz w:val="32"/>
          <w:szCs w:val="32"/>
        </w:rPr>
        <w:t>：除上述选题外，申报者也可结合学生工作实际自行确定研究方向，题目自拟。</w:t>
      </w:r>
    </w:p>
    <w:p>
      <w:pPr>
        <w:bidi w:val="0"/>
        <w:rPr>
          <w:rFonts w:ascii="Times New Roman" w:hAnsi="Times New Roman" w:eastAsia="仿宋_GB2312"/>
        </w:rPr>
      </w:pPr>
    </w:p>
    <w:p>
      <w:pPr>
        <w:bidi w:val="0"/>
        <w:ind w:left="0" w:leftChars="0" w:firstLine="0" w:firstLineChars="0"/>
        <w:rPr>
          <w:rFonts w:ascii="Times New Roman" w:hAnsi="Times New Roman" w:eastAsia="仿宋_GB231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hAnsi="仿宋_GB2312" w:eastAsia="仿宋_GB2312" w:cs="仿宋_GB2312"/>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hAnsi="仿宋_GB2312" w:eastAsia="仿宋_GB2312" w:cs="仿宋_GB2312"/>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hAnsi="仿宋_GB2312" w:eastAsia="仿宋_GB2312" w:cs="仿宋_GB2312"/>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hAnsi="仿宋_GB2312" w:eastAsia="仿宋_GB2312" w:cs="仿宋_GB2312"/>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hAnsi="仿宋_GB2312" w:eastAsia="仿宋_GB2312" w:cs="仿宋_GB2312"/>
          <w:i w:val="0"/>
          <w:iCs w:val="0"/>
          <w:caps w:val="0"/>
          <w:color w:val="333333"/>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ascii="仿宋_GB2312" w:hAnsi="仿宋_GB2312" w:eastAsia="仿宋_GB2312" w:cs="仿宋_GB2312"/>
          <w:i w:val="0"/>
          <w:iCs w:val="0"/>
          <w:caps w:val="0"/>
          <w:color w:val="333333"/>
          <w:spacing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jc5NmViM2Q4N2Y5MGI1OTdjNjMxYzlkZjc5ZTQifQ=="/>
  </w:docVars>
  <w:rsids>
    <w:rsidRoot w:val="00000000"/>
    <w:rsid w:val="034131A9"/>
    <w:rsid w:val="06676CDD"/>
    <w:rsid w:val="06FC2BB3"/>
    <w:rsid w:val="0789587F"/>
    <w:rsid w:val="0D7118B7"/>
    <w:rsid w:val="0F694410"/>
    <w:rsid w:val="17563B22"/>
    <w:rsid w:val="1B79449A"/>
    <w:rsid w:val="1BB82242"/>
    <w:rsid w:val="1D1619FD"/>
    <w:rsid w:val="1DFE4AC7"/>
    <w:rsid w:val="1EFF7DD6"/>
    <w:rsid w:val="23503E27"/>
    <w:rsid w:val="24CF521F"/>
    <w:rsid w:val="2939710B"/>
    <w:rsid w:val="2CF73A3E"/>
    <w:rsid w:val="2D951D09"/>
    <w:rsid w:val="3178368F"/>
    <w:rsid w:val="377052D0"/>
    <w:rsid w:val="3B8A268B"/>
    <w:rsid w:val="3C4E2A76"/>
    <w:rsid w:val="4048460E"/>
    <w:rsid w:val="438145F5"/>
    <w:rsid w:val="484B740D"/>
    <w:rsid w:val="4A4F2894"/>
    <w:rsid w:val="4ADF76BB"/>
    <w:rsid w:val="4AE20F59"/>
    <w:rsid w:val="4B413ED2"/>
    <w:rsid w:val="51B64EEE"/>
    <w:rsid w:val="54347DFB"/>
    <w:rsid w:val="5C732E35"/>
    <w:rsid w:val="5CE6075B"/>
    <w:rsid w:val="5DD30137"/>
    <w:rsid w:val="5E4F64AE"/>
    <w:rsid w:val="609277A6"/>
    <w:rsid w:val="633F4151"/>
    <w:rsid w:val="743B3304"/>
    <w:rsid w:val="766033F2"/>
    <w:rsid w:val="7FC0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2666</Words>
  <Characters>2846</Characters>
  <Lines>0</Lines>
  <Paragraphs>0</Paragraphs>
  <TotalTime>0</TotalTime>
  <ScaleCrop>false</ScaleCrop>
  <LinksUpToDate>false</LinksUpToDate>
  <CharactersWithSpaces>2871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2023-11-15T02:32:00Z</dcterms:created>
  <dc:creator>hp、</dc:creator>
  <cp:lastModifiedBy>离樾清尘</cp:lastModifiedBy>
  <dcterms:modified xsi:type="dcterms:W3CDTF">2023-11-17T06:54:23Z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EB450FAA4D9E47CD9B8A9BB330E4F06D_13</vt:lpwstr>
  </property>
</Properties>
</file>